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CF3A9" w14:textId="74F751A7" w:rsidR="002B098B" w:rsidRPr="00DA334B" w:rsidRDefault="00786487" w:rsidP="00577A7D">
      <w:pPr>
        <w:pStyle w:val="NormalWeb"/>
        <w:spacing w:before="0" w:beforeAutospacing="0" w:after="0" w:afterAutospacing="0"/>
        <w:jc w:val="center"/>
        <w:rPr>
          <w:rFonts w:ascii="Palatino Linotype" w:hAnsi="Palatino Linotype" w:cs="Arial"/>
          <w:color w:val="0D0D0D" w:themeColor="text1" w:themeTint="F2"/>
        </w:rPr>
      </w:pPr>
      <w:bookmarkStart w:id="0" w:name="_GoBack"/>
      <w:bookmarkEnd w:id="0"/>
      <w:r w:rsidRPr="00DA334B">
        <w:rPr>
          <w:rFonts w:ascii="Palatino Linotype" w:hAnsi="Palatino Linotype"/>
          <w:noProof/>
          <w:color w:val="0D0D0D" w:themeColor="text1" w:themeTint="F2"/>
        </w:rPr>
        <w:drawing>
          <wp:anchor distT="0" distB="0" distL="114300" distR="114300" simplePos="0" relativeHeight="251659264" behindDoc="1" locked="0" layoutInCell="1" allowOverlap="1" wp14:anchorId="4F045AD8" wp14:editId="050A247A">
            <wp:simplePos x="0" y="0"/>
            <wp:positionH relativeFrom="column">
              <wp:posOffset>-401955</wp:posOffset>
            </wp:positionH>
            <wp:positionV relativeFrom="paragraph">
              <wp:posOffset>92075</wp:posOffset>
            </wp:positionV>
            <wp:extent cx="6486525" cy="1219200"/>
            <wp:effectExtent l="0" t="0" r="9525" b="0"/>
            <wp:wrapThrough wrapText="bothSides">
              <wp:wrapPolygon edited="0">
                <wp:start x="0" y="0"/>
                <wp:lineTo x="0" y="21263"/>
                <wp:lineTo x="21568" y="21263"/>
                <wp:lineTo x="21568" y="0"/>
                <wp:lineTo x="0" y="0"/>
              </wp:wrapPolygon>
            </wp:wrapThrough>
            <wp:docPr id="3" name="Picture 3" descr="newHeaderO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HeaderOT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65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AAB09" w14:textId="4EB79E67" w:rsidR="000832EC" w:rsidRPr="00DA334B" w:rsidRDefault="00B00C2F" w:rsidP="00B00C2F">
      <w:pPr>
        <w:jc w:val="center"/>
        <w:rPr>
          <w:rFonts w:ascii="Palatino Linotype" w:hAnsi="Palatino Linotype" w:cs="Tahoma"/>
          <w:b/>
          <w:color w:val="0D0D0D" w:themeColor="text1" w:themeTint="F2"/>
          <w:sz w:val="22"/>
          <w:szCs w:val="22"/>
        </w:rPr>
      </w:pPr>
      <w:r w:rsidRPr="00DA334B">
        <w:rPr>
          <w:rFonts w:ascii="Palatino Linotype" w:hAnsi="Palatino Linotype" w:cs="Tahoma"/>
          <w:b/>
          <w:color w:val="0D0D0D" w:themeColor="text1" w:themeTint="F2"/>
          <w:sz w:val="22"/>
          <w:szCs w:val="22"/>
        </w:rPr>
        <w:t xml:space="preserve">TERMS OF REFERENCE – </w:t>
      </w:r>
      <w:r w:rsidR="00257CDC" w:rsidRPr="00DA334B">
        <w:rPr>
          <w:rFonts w:ascii="Palatino Linotype" w:hAnsi="Palatino Linotype" w:cs="Tahoma"/>
          <w:b/>
          <w:color w:val="0D0D0D" w:themeColor="text1" w:themeTint="F2"/>
          <w:sz w:val="22"/>
          <w:szCs w:val="22"/>
        </w:rPr>
        <w:t>ANALYST</w:t>
      </w:r>
    </w:p>
    <w:p w14:paraId="64231CB6" w14:textId="77777777" w:rsidR="00CA3F65" w:rsidRPr="00DA334B" w:rsidRDefault="00CA3F65" w:rsidP="00577A7D">
      <w:pPr>
        <w:jc w:val="both"/>
        <w:rPr>
          <w:rFonts w:ascii="Palatino Linotype" w:hAnsi="Palatino Linotype" w:cs="Tahoma"/>
          <w:b/>
          <w:color w:val="0D0D0D" w:themeColor="text1" w:themeTint="F2"/>
          <w:sz w:val="22"/>
          <w:szCs w:val="22"/>
        </w:rPr>
      </w:pPr>
    </w:p>
    <w:p w14:paraId="1A63F7BD" w14:textId="62F00346" w:rsidR="000832EC" w:rsidRPr="00DA334B" w:rsidRDefault="000832EC" w:rsidP="00577A7D">
      <w:pPr>
        <w:pStyle w:val="ListParagraph"/>
        <w:numPr>
          <w:ilvl w:val="0"/>
          <w:numId w:val="8"/>
        </w:numPr>
        <w:jc w:val="both"/>
        <w:rPr>
          <w:rFonts w:ascii="Palatino Linotype" w:hAnsi="Palatino Linotype" w:cs="Tahoma"/>
          <w:b/>
          <w:color w:val="0D0D0D" w:themeColor="text1" w:themeTint="F2"/>
        </w:rPr>
      </w:pPr>
      <w:r w:rsidRPr="00DA334B">
        <w:rPr>
          <w:rFonts w:ascii="Palatino Linotype" w:hAnsi="Palatino Linotype" w:cs="Tahoma"/>
          <w:b/>
          <w:color w:val="0D0D0D" w:themeColor="text1" w:themeTint="F2"/>
        </w:rPr>
        <w:t xml:space="preserve">Operational </w:t>
      </w:r>
      <w:r w:rsidR="00E37CB9" w:rsidRPr="00DA334B">
        <w:rPr>
          <w:rFonts w:ascii="Palatino Linotype" w:hAnsi="Palatino Linotype" w:cs="Tahoma"/>
          <w:b/>
          <w:color w:val="0D0D0D" w:themeColor="text1" w:themeTint="F2"/>
        </w:rPr>
        <w:t>Context</w:t>
      </w:r>
    </w:p>
    <w:p w14:paraId="0823BD8B" w14:textId="77777777" w:rsidR="000832EC" w:rsidRPr="00DA334B" w:rsidRDefault="000832EC" w:rsidP="00577A7D">
      <w:pPr>
        <w:jc w:val="both"/>
        <w:rPr>
          <w:rFonts w:ascii="Palatino Linotype" w:hAnsi="Palatino Linotype" w:cs="Tahoma"/>
          <w:color w:val="0D0D0D" w:themeColor="text1" w:themeTint="F2"/>
          <w:sz w:val="22"/>
          <w:szCs w:val="22"/>
        </w:rPr>
      </w:pPr>
    </w:p>
    <w:p w14:paraId="530D87B9" w14:textId="04641E0B" w:rsidR="003B077E" w:rsidRPr="003B077E" w:rsidRDefault="003B077E" w:rsidP="003B077E">
      <w:pPr>
        <w:autoSpaceDE w:val="0"/>
        <w:autoSpaceDN w:val="0"/>
        <w:adjustRightInd w:val="0"/>
        <w:jc w:val="both"/>
        <w:rPr>
          <w:rFonts w:ascii="Palatino Linotype" w:hAnsi="Palatino Linotype"/>
          <w:color w:val="0D0D0D" w:themeColor="text1" w:themeTint="F2"/>
          <w:sz w:val="22"/>
          <w:szCs w:val="22"/>
        </w:rPr>
      </w:pPr>
      <w:r w:rsidRPr="00C806A2">
        <w:rPr>
          <w:rFonts w:ascii="Palatino Linotype" w:hAnsi="Palatino Linotype" w:cs="Tahoma"/>
          <w:color w:val="0D0D0D" w:themeColor="text1" w:themeTint="F2"/>
          <w:sz w:val="22"/>
          <w:szCs w:val="22"/>
        </w:rPr>
        <w:t xml:space="preserve">The Office of the Prosecutor (“OTP”) needs </w:t>
      </w:r>
      <w:r>
        <w:rPr>
          <w:rFonts w:ascii="Palatino Linotype" w:hAnsi="Palatino Linotype" w:cs="Tahoma"/>
          <w:color w:val="0D0D0D" w:themeColor="text1" w:themeTint="F2"/>
          <w:sz w:val="22"/>
          <w:szCs w:val="22"/>
        </w:rPr>
        <w:t xml:space="preserve">systematic analysis of relevant information and evidence </w:t>
      </w:r>
      <w:r w:rsidRPr="00C806A2">
        <w:rPr>
          <w:rFonts w:ascii="Palatino Linotype" w:hAnsi="Palatino Linotype"/>
          <w:color w:val="0D0D0D" w:themeColor="text1" w:themeTint="F2"/>
          <w:sz w:val="22"/>
          <w:szCs w:val="22"/>
        </w:rPr>
        <w:t xml:space="preserve">as an essential part of its investigations on alleged ICC crimes. </w:t>
      </w:r>
      <w:r>
        <w:rPr>
          <w:rFonts w:ascii="Palatino Linotype" w:hAnsi="Palatino Linotype"/>
          <w:color w:val="0D0D0D" w:themeColor="text1" w:themeTint="F2"/>
          <w:sz w:val="22"/>
          <w:szCs w:val="22"/>
        </w:rPr>
        <w:t>Professional a</w:t>
      </w:r>
      <w:r w:rsidRPr="00C806A2">
        <w:rPr>
          <w:rFonts w:ascii="Palatino Linotype" w:hAnsi="Palatino Linotype"/>
          <w:color w:val="0D0D0D" w:themeColor="text1" w:themeTint="F2"/>
          <w:sz w:val="22"/>
          <w:szCs w:val="22"/>
        </w:rPr>
        <w:t>nalysis</w:t>
      </w:r>
      <w:r>
        <w:rPr>
          <w:rFonts w:ascii="Palatino Linotype" w:hAnsi="Palatino Linotype"/>
          <w:color w:val="0D0D0D" w:themeColor="text1" w:themeTint="F2"/>
          <w:sz w:val="22"/>
          <w:szCs w:val="22"/>
        </w:rPr>
        <w:t xml:space="preserve"> of multiple sources, incidents and patterns of crime </w:t>
      </w:r>
      <w:r w:rsidRPr="00C806A2">
        <w:rPr>
          <w:rFonts w:ascii="Palatino Linotype" w:hAnsi="Palatino Linotype"/>
          <w:color w:val="0D0D0D" w:themeColor="text1" w:themeTint="F2"/>
          <w:sz w:val="22"/>
          <w:szCs w:val="22"/>
        </w:rPr>
        <w:t>is required to develop investigative hypotheses, to collect relevant evidence, and ultimately to identify those persons who appear to be most responsible. The ICC Judges have stressed in their decisions the critical importance</w:t>
      </w:r>
      <w:r>
        <w:rPr>
          <w:rFonts w:ascii="Palatino Linotype" w:hAnsi="Palatino Linotype"/>
          <w:color w:val="0D0D0D" w:themeColor="text1" w:themeTint="F2"/>
          <w:sz w:val="22"/>
          <w:szCs w:val="22"/>
        </w:rPr>
        <w:t xml:space="preserve"> of systematic and objective analysis of the facts to decide on the alleged crimes and responsibilities, under arts. 5 to 8 (genocide, crimes against humanity and war crimes) and </w:t>
      </w:r>
      <w:r w:rsidRPr="00C806A2">
        <w:rPr>
          <w:rFonts w:ascii="Palatino Linotype" w:hAnsi="Palatino Linotype"/>
          <w:color w:val="0D0D0D" w:themeColor="text1" w:themeTint="F2"/>
          <w:sz w:val="22"/>
          <w:szCs w:val="22"/>
        </w:rPr>
        <w:t>art. 25 or 28 of the ICC Statute (Individual Criminal Responsibility, or Responsibility of Commanders and Other Superiors).</w:t>
      </w:r>
    </w:p>
    <w:p w14:paraId="491C9940" w14:textId="77777777" w:rsidR="003B077E" w:rsidRPr="00C806A2" w:rsidRDefault="003B077E" w:rsidP="003B077E">
      <w:pPr>
        <w:jc w:val="both"/>
        <w:rPr>
          <w:rFonts w:ascii="Palatino Linotype" w:hAnsi="Palatino Linotype"/>
          <w:color w:val="0D0D0D" w:themeColor="text1" w:themeTint="F2"/>
          <w:sz w:val="22"/>
          <w:szCs w:val="22"/>
        </w:rPr>
      </w:pPr>
    </w:p>
    <w:p w14:paraId="69300C4E" w14:textId="547A2733" w:rsidR="003B077E" w:rsidRPr="00C806A2" w:rsidRDefault="003B077E" w:rsidP="003B077E">
      <w:pPr>
        <w:jc w:val="both"/>
        <w:rPr>
          <w:rFonts w:ascii="Palatino Linotype" w:hAnsi="Palatino Linotype"/>
          <w:color w:val="0D0D0D" w:themeColor="text1" w:themeTint="F2"/>
          <w:sz w:val="22"/>
          <w:szCs w:val="22"/>
        </w:rPr>
      </w:pPr>
      <w:r>
        <w:rPr>
          <w:rFonts w:ascii="Palatino Linotype" w:hAnsi="Palatino Linotype"/>
          <w:color w:val="0D0D0D" w:themeColor="text1" w:themeTint="F2"/>
          <w:sz w:val="22"/>
          <w:szCs w:val="22"/>
        </w:rPr>
        <w:t xml:space="preserve">Analysts </w:t>
      </w:r>
      <w:r w:rsidRPr="00C806A2">
        <w:rPr>
          <w:rFonts w:ascii="Palatino Linotype" w:hAnsi="Palatino Linotype"/>
          <w:color w:val="0D0D0D" w:themeColor="text1" w:themeTint="F2"/>
          <w:sz w:val="22"/>
          <w:szCs w:val="22"/>
        </w:rPr>
        <w:t>operate</w:t>
      </w:r>
      <w:r w:rsidR="00257CDC">
        <w:rPr>
          <w:rFonts w:ascii="Palatino Linotype" w:hAnsi="Palatino Linotype"/>
          <w:color w:val="0D0D0D" w:themeColor="text1" w:themeTint="F2"/>
          <w:sz w:val="22"/>
          <w:szCs w:val="22"/>
        </w:rPr>
        <w:t xml:space="preserve"> within the OTP Unified Teams,</w:t>
      </w:r>
      <w:r w:rsidRPr="00C806A2">
        <w:rPr>
          <w:rFonts w:ascii="Palatino Linotype" w:hAnsi="Palatino Linotype"/>
          <w:color w:val="0D0D0D" w:themeColor="text1" w:themeTint="F2"/>
          <w:sz w:val="22"/>
          <w:szCs w:val="22"/>
        </w:rPr>
        <w:t xml:space="preserve"> under the ICC normative framework, as well as the OTP  internal regulations and analytical standards. The OTP investigates alleged crimes impartially in order to establish the truth, considering “</w:t>
      </w:r>
      <w:r w:rsidRPr="00C806A2">
        <w:rPr>
          <w:rFonts w:ascii="Palatino Linotype" w:hAnsi="Palatino Linotype" w:cs="PalatinoLTStd-Light"/>
          <w:color w:val="0D0D0D" w:themeColor="text1" w:themeTint="F2"/>
          <w:sz w:val="22"/>
          <w:szCs w:val="22"/>
          <w:lang w:eastAsia="en-US"/>
        </w:rPr>
        <w:t>incriminating and exonerating circumstances equally</w:t>
      </w:r>
      <w:r w:rsidRPr="00C806A2">
        <w:rPr>
          <w:rFonts w:ascii="Palatino Linotype" w:hAnsi="Palatino Linotype"/>
          <w:color w:val="0D0D0D" w:themeColor="text1" w:themeTint="F2"/>
          <w:sz w:val="22"/>
          <w:szCs w:val="22"/>
        </w:rPr>
        <w:t>” (art. 54-1-a ICC Statute).</w:t>
      </w:r>
    </w:p>
    <w:p w14:paraId="7355074A" w14:textId="77777777" w:rsidR="003B077E" w:rsidRPr="00C806A2" w:rsidRDefault="003B077E" w:rsidP="003B077E">
      <w:pPr>
        <w:jc w:val="both"/>
        <w:rPr>
          <w:rFonts w:ascii="Palatino Linotype" w:hAnsi="Palatino Linotype"/>
          <w:color w:val="0D0D0D" w:themeColor="text1" w:themeTint="F2"/>
          <w:sz w:val="22"/>
          <w:szCs w:val="22"/>
        </w:rPr>
      </w:pPr>
    </w:p>
    <w:p w14:paraId="2005A4DC" w14:textId="22A74EFD" w:rsidR="003B077E" w:rsidRPr="00C806A2" w:rsidRDefault="003B077E" w:rsidP="003B077E">
      <w:pPr>
        <w:jc w:val="both"/>
        <w:rPr>
          <w:rFonts w:ascii="Palatino Linotype" w:hAnsi="Palatino Linotype"/>
          <w:color w:val="0D0D0D" w:themeColor="text1" w:themeTint="F2"/>
          <w:sz w:val="22"/>
          <w:szCs w:val="22"/>
        </w:rPr>
      </w:pPr>
      <w:r w:rsidRPr="00C806A2">
        <w:rPr>
          <w:rFonts w:ascii="Palatino Linotype" w:hAnsi="Palatino Linotype"/>
          <w:color w:val="0D0D0D" w:themeColor="text1" w:themeTint="F2"/>
          <w:sz w:val="22"/>
          <w:szCs w:val="22"/>
        </w:rPr>
        <w:t xml:space="preserve">The OTP needs to rely for its investigations on cooperation from multiple state authorities, international organisations and civil society. Staff is expected to cooperate effectively with partners, with due respect to their mandates, professional and cultural context. The OTP </w:t>
      </w:r>
      <w:r>
        <w:rPr>
          <w:rFonts w:ascii="Palatino Linotype" w:hAnsi="Palatino Linotype"/>
          <w:color w:val="0D0D0D" w:themeColor="text1" w:themeTint="F2"/>
          <w:sz w:val="22"/>
          <w:szCs w:val="22"/>
        </w:rPr>
        <w:t>Unified T</w:t>
      </w:r>
      <w:r w:rsidRPr="00C806A2">
        <w:rPr>
          <w:rFonts w:ascii="Palatino Linotype" w:hAnsi="Palatino Linotype"/>
          <w:color w:val="0D0D0D" w:themeColor="text1" w:themeTint="F2"/>
          <w:sz w:val="22"/>
          <w:szCs w:val="22"/>
        </w:rPr>
        <w:t xml:space="preserve">eams are highly diverse and staff need to operate with due respect and appreciation for diversity, including professional, gender, culture, and linguistic considerations.  </w:t>
      </w:r>
    </w:p>
    <w:p w14:paraId="12552ADF" w14:textId="45CFD33F" w:rsidR="0080691E" w:rsidRDefault="0080691E" w:rsidP="00577A7D">
      <w:pPr>
        <w:autoSpaceDE w:val="0"/>
        <w:autoSpaceDN w:val="0"/>
        <w:adjustRightInd w:val="0"/>
        <w:jc w:val="both"/>
        <w:rPr>
          <w:rFonts w:ascii="Palatino Linotype" w:hAnsi="Palatino Linotype" w:cs="Tahoma"/>
          <w:color w:val="0D0D0D" w:themeColor="text1" w:themeTint="F2"/>
          <w:sz w:val="22"/>
          <w:szCs w:val="22"/>
        </w:rPr>
      </w:pPr>
    </w:p>
    <w:p w14:paraId="50E8026F" w14:textId="77777777" w:rsidR="003B077E" w:rsidRPr="00DA334B" w:rsidRDefault="003B077E" w:rsidP="00577A7D">
      <w:pPr>
        <w:autoSpaceDE w:val="0"/>
        <w:autoSpaceDN w:val="0"/>
        <w:adjustRightInd w:val="0"/>
        <w:jc w:val="both"/>
        <w:rPr>
          <w:rFonts w:ascii="Palatino Linotype" w:hAnsi="Palatino Linotype" w:cs="Tahoma"/>
          <w:color w:val="0D0D0D" w:themeColor="text1" w:themeTint="F2"/>
          <w:sz w:val="22"/>
          <w:szCs w:val="22"/>
        </w:rPr>
      </w:pPr>
    </w:p>
    <w:p w14:paraId="54518BA2" w14:textId="77777777" w:rsidR="003B077E" w:rsidRPr="003B077E" w:rsidRDefault="000832EC" w:rsidP="00160B3F">
      <w:pPr>
        <w:pStyle w:val="ListParagraph"/>
        <w:numPr>
          <w:ilvl w:val="0"/>
          <w:numId w:val="8"/>
        </w:numPr>
        <w:jc w:val="both"/>
        <w:rPr>
          <w:rFonts w:ascii="Palatino Linotype" w:hAnsi="Palatino Linotype"/>
          <w:bCs/>
          <w:color w:val="0D0D0D" w:themeColor="text1" w:themeTint="F2"/>
        </w:rPr>
      </w:pPr>
      <w:r w:rsidRPr="003B077E">
        <w:rPr>
          <w:rFonts w:ascii="Palatino Linotype" w:hAnsi="Palatino Linotype" w:cs="Tahoma"/>
          <w:b/>
          <w:color w:val="0D0D0D" w:themeColor="text1" w:themeTint="F2"/>
        </w:rPr>
        <w:t>Tasks</w:t>
      </w:r>
    </w:p>
    <w:p w14:paraId="1F0AE22A" w14:textId="7F932671" w:rsidR="003B077E" w:rsidRDefault="003B077E" w:rsidP="003B077E">
      <w:pPr>
        <w:jc w:val="both"/>
        <w:rPr>
          <w:rFonts w:ascii="Palatino Linotype" w:hAnsi="Palatino Linotype"/>
          <w:bCs/>
          <w:color w:val="0D0D0D" w:themeColor="text1" w:themeTint="F2"/>
        </w:rPr>
      </w:pPr>
    </w:p>
    <w:p w14:paraId="629E808F" w14:textId="084CA7F1" w:rsidR="003B077E" w:rsidRDefault="003B077E" w:rsidP="003B077E">
      <w:pPr>
        <w:jc w:val="both"/>
        <w:rPr>
          <w:rFonts w:ascii="Palatino Linotype" w:hAnsi="Palatino Linotype"/>
          <w:bCs/>
          <w:color w:val="0D0D0D" w:themeColor="text1" w:themeTint="F2"/>
          <w:sz w:val="22"/>
          <w:szCs w:val="22"/>
        </w:rPr>
      </w:pPr>
      <w:r w:rsidRPr="003B077E">
        <w:rPr>
          <w:rFonts w:ascii="Palatino Linotype" w:hAnsi="Palatino Linotype"/>
          <w:b/>
          <w:bCs/>
          <w:color w:val="0D0D0D" w:themeColor="text1" w:themeTint="F2"/>
        </w:rPr>
        <w:t>Analysis of crime incidents and patterns</w:t>
      </w:r>
      <w:r>
        <w:rPr>
          <w:rFonts w:ascii="Palatino Linotype" w:hAnsi="Palatino Linotype"/>
          <w:bCs/>
          <w:color w:val="0D0D0D" w:themeColor="text1" w:themeTint="F2"/>
        </w:rPr>
        <w:t xml:space="preserve"> – </w:t>
      </w:r>
      <w:r w:rsidRPr="00C806A2">
        <w:rPr>
          <w:rFonts w:ascii="Palatino Linotype" w:hAnsi="Palatino Linotype"/>
          <w:bCs/>
          <w:color w:val="0D0D0D" w:themeColor="text1" w:themeTint="F2"/>
          <w:sz w:val="22"/>
          <w:szCs w:val="22"/>
        </w:rPr>
        <w:t>To analyse the available information and evidence</w:t>
      </w:r>
      <w:r>
        <w:rPr>
          <w:rFonts w:ascii="Palatino Linotype" w:hAnsi="Palatino Linotype"/>
          <w:bCs/>
          <w:color w:val="0D0D0D" w:themeColor="text1" w:themeTint="F2"/>
          <w:sz w:val="22"/>
          <w:szCs w:val="22"/>
        </w:rPr>
        <w:t xml:space="preserve"> in relation to alleged crime incidents and patterns, including estimates and identification of victims and their profile, locations and patterns of geographical distribution, time and chronological distribution, and identification of perpetrators and their modus operanda.</w:t>
      </w:r>
    </w:p>
    <w:p w14:paraId="05682504" w14:textId="77777777" w:rsidR="003B077E" w:rsidRDefault="003B077E" w:rsidP="003B077E">
      <w:pPr>
        <w:jc w:val="both"/>
        <w:rPr>
          <w:rFonts w:ascii="Palatino Linotype" w:hAnsi="Palatino Linotype"/>
          <w:bCs/>
          <w:color w:val="0D0D0D" w:themeColor="text1" w:themeTint="F2"/>
          <w:sz w:val="22"/>
          <w:szCs w:val="22"/>
        </w:rPr>
      </w:pPr>
    </w:p>
    <w:p w14:paraId="193B415B" w14:textId="77777777" w:rsidR="003B077E" w:rsidRPr="003B077E" w:rsidRDefault="003B077E" w:rsidP="003B077E">
      <w:pPr>
        <w:jc w:val="both"/>
        <w:rPr>
          <w:rFonts w:ascii="Palatino Linotype" w:hAnsi="Palatino Linotype"/>
          <w:bCs/>
          <w:color w:val="0D0D0D" w:themeColor="text1" w:themeTint="F2"/>
        </w:rPr>
      </w:pPr>
    </w:p>
    <w:p w14:paraId="517B4DC4" w14:textId="77777777" w:rsidR="00DA334B" w:rsidRPr="00DA334B" w:rsidRDefault="00DA334B" w:rsidP="00DA334B">
      <w:pPr>
        <w:pStyle w:val="Heading2"/>
        <w:jc w:val="both"/>
        <w:rPr>
          <w:rFonts w:ascii="Palatino Linotype" w:hAnsi="Palatino Linotype"/>
          <w:bCs/>
          <w:color w:val="0D0D0D" w:themeColor="text1" w:themeTint="F2"/>
          <w:sz w:val="22"/>
          <w:szCs w:val="22"/>
        </w:rPr>
      </w:pPr>
    </w:p>
    <w:p w14:paraId="473BDBC2" w14:textId="7EB20E41" w:rsidR="000832EC" w:rsidRDefault="000832EC" w:rsidP="00577A7D">
      <w:pPr>
        <w:pStyle w:val="ListParagraph"/>
        <w:spacing w:before="0" w:after="0"/>
        <w:contextualSpacing w:val="0"/>
        <w:jc w:val="both"/>
        <w:rPr>
          <w:rFonts w:ascii="Palatino Linotype" w:hAnsi="Palatino Linotype" w:cs="Tahoma"/>
          <w:bCs/>
          <w:color w:val="0D0D0D" w:themeColor="text1" w:themeTint="F2"/>
        </w:rPr>
      </w:pPr>
    </w:p>
    <w:p w14:paraId="74B29567" w14:textId="2F58BDBA" w:rsidR="003B077E" w:rsidRDefault="003B077E" w:rsidP="003B077E">
      <w:pPr>
        <w:jc w:val="both"/>
        <w:rPr>
          <w:rFonts w:ascii="Palatino Linotype" w:hAnsi="Palatino Linotype"/>
          <w:bCs/>
          <w:color w:val="0D0D0D" w:themeColor="text1" w:themeTint="F2"/>
          <w:sz w:val="22"/>
          <w:szCs w:val="22"/>
        </w:rPr>
      </w:pPr>
      <w:r w:rsidRPr="00C806A2">
        <w:rPr>
          <w:rFonts w:ascii="Palatino Linotype" w:hAnsi="Palatino Linotype"/>
          <w:b/>
          <w:bCs/>
          <w:color w:val="0D0D0D" w:themeColor="text1" w:themeTint="F2"/>
          <w:sz w:val="22"/>
          <w:szCs w:val="22"/>
        </w:rPr>
        <w:t xml:space="preserve">Analysis of </w:t>
      </w:r>
      <w:r w:rsidR="00257CDC">
        <w:rPr>
          <w:rFonts w:ascii="Palatino Linotype" w:hAnsi="Palatino Linotype"/>
          <w:b/>
          <w:bCs/>
          <w:color w:val="0D0D0D" w:themeColor="text1" w:themeTint="F2"/>
          <w:sz w:val="22"/>
          <w:szCs w:val="22"/>
        </w:rPr>
        <w:t>organisations and networks</w:t>
      </w:r>
      <w:r w:rsidRPr="00C806A2">
        <w:rPr>
          <w:rFonts w:ascii="Palatino Linotype" w:hAnsi="Palatino Linotype"/>
          <w:bCs/>
          <w:color w:val="0D0D0D" w:themeColor="text1" w:themeTint="F2"/>
          <w:sz w:val="22"/>
          <w:szCs w:val="22"/>
        </w:rPr>
        <w:t xml:space="preserve"> – To analyse the available information and evidence in order to identify the relevant systems of command, c</w:t>
      </w:r>
      <w:r>
        <w:rPr>
          <w:rFonts w:ascii="Palatino Linotype" w:hAnsi="Palatino Linotype"/>
          <w:bCs/>
          <w:color w:val="0D0D0D" w:themeColor="text1" w:themeTint="F2"/>
          <w:sz w:val="22"/>
          <w:szCs w:val="22"/>
        </w:rPr>
        <w:t xml:space="preserve">ontrol and communications utilised in the commission of the alleged crimes, </w:t>
      </w:r>
      <w:r w:rsidRPr="00C806A2">
        <w:rPr>
          <w:rFonts w:ascii="Palatino Linotype" w:hAnsi="Palatino Linotype"/>
          <w:bCs/>
          <w:color w:val="0D0D0D" w:themeColor="text1" w:themeTint="F2"/>
          <w:sz w:val="22"/>
          <w:szCs w:val="22"/>
        </w:rPr>
        <w:t xml:space="preserve">including identification of key members, units and commanders, communications, </w:t>
      </w:r>
      <w:r>
        <w:rPr>
          <w:rFonts w:ascii="Palatino Linotype" w:hAnsi="Palatino Linotype"/>
          <w:bCs/>
          <w:color w:val="0D0D0D" w:themeColor="text1" w:themeTint="F2"/>
          <w:sz w:val="22"/>
          <w:szCs w:val="22"/>
        </w:rPr>
        <w:t xml:space="preserve">logistics and finances. </w:t>
      </w:r>
    </w:p>
    <w:p w14:paraId="75E7DABF" w14:textId="77777777" w:rsidR="003B077E" w:rsidRDefault="003B077E" w:rsidP="003B077E">
      <w:pPr>
        <w:jc w:val="both"/>
        <w:rPr>
          <w:rFonts w:ascii="Palatino Linotype" w:hAnsi="Palatino Linotype"/>
          <w:bCs/>
          <w:color w:val="0D0D0D" w:themeColor="text1" w:themeTint="F2"/>
          <w:sz w:val="22"/>
          <w:szCs w:val="22"/>
        </w:rPr>
      </w:pPr>
    </w:p>
    <w:p w14:paraId="4A21844A" w14:textId="5CD69042" w:rsidR="003B077E" w:rsidRPr="00C806A2" w:rsidRDefault="003B077E" w:rsidP="003B077E">
      <w:pPr>
        <w:jc w:val="both"/>
        <w:rPr>
          <w:rFonts w:ascii="Palatino Linotype" w:hAnsi="Palatino Linotype"/>
          <w:bCs/>
          <w:color w:val="0D0D0D" w:themeColor="text1" w:themeTint="F2"/>
          <w:sz w:val="22"/>
          <w:szCs w:val="22"/>
        </w:rPr>
      </w:pPr>
      <w:r w:rsidRPr="003B077E">
        <w:rPr>
          <w:rFonts w:ascii="Palatino Linotype" w:hAnsi="Palatino Linotype"/>
          <w:b/>
          <w:bCs/>
          <w:color w:val="0D0D0D" w:themeColor="text1" w:themeTint="F2"/>
          <w:sz w:val="22"/>
          <w:szCs w:val="22"/>
        </w:rPr>
        <w:t>Dissemination</w:t>
      </w:r>
      <w:r>
        <w:rPr>
          <w:rFonts w:ascii="Palatino Linotype" w:hAnsi="Palatino Linotype"/>
          <w:bCs/>
          <w:color w:val="0D0D0D" w:themeColor="text1" w:themeTint="F2"/>
          <w:sz w:val="22"/>
          <w:szCs w:val="22"/>
        </w:rPr>
        <w:t xml:space="preserve"> – </w:t>
      </w:r>
      <w:r w:rsidRPr="00C806A2">
        <w:rPr>
          <w:rFonts w:ascii="Palatino Linotype" w:hAnsi="Palatino Linotype"/>
          <w:bCs/>
          <w:color w:val="0D0D0D" w:themeColor="text1" w:themeTint="F2"/>
          <w:sz w:val="22"/>
          <w:szCs w:val="22"/>
        </w:rPr>
        <w:t>To convey the relevant analysis through analytical products sourced against specific items of information or evidence, including reports, relational charts, databases, and maps. Analytical products shall comply with the OTP analytical standards for report drafting, sourcing, critical thinking, source evaluation and accuracy.</w:t>
      </w:r>
    </w:p>
    <w:p w14:paraId="02DCF656" w14:textId="77777777" w:rsidR="003B077E" w:rsidRPr="00C806A2" w:rsidRDefault="003B077E" w:rsidP="003B077E">
      <w:pPr>
        <w:pStyle w:val="Heading2"/>
        <w:jc w:val="both"/>
        <w:rPr>
          <w:rFonts w:ascii="Palatino Linotype" w:hAnsi="Palatino Linotype"/>
          <w:bCs/>
          <w:color w:val="0D0D0D" w:themeColor="text1" w:themeTint="F2"/>
          <w:sz w:val="22"/>
          <w:szCs w:val="22"/>
        </w:rPr>
      </w:pPr>
    </w:p>
    <w:p w14:paraId="71E2E07C" w14:textId="2E692E69" w:rsidR="003B077E" w:rsidRPr="00C806A2" w:rsidRDefault="003B077E" w:rsidP="003B077E">
      <w:pPr>
        <w:pStyle w:val="Heading2"/>
        <w:jc w:val="both"/>
        <w:rPr>
          <w:rFonts w:ascii="Palatino Linotype" w:hAnsi="Palatino Linotype"/>
          <w:bCs/>
          <w:color w:val="0D0D0D" w:themeColor="text1" w:themeTint="F2"/>
          <w:sz w:val="22"/>
          <w:szCs w:val="22"/>
        </w:rPr>
      </w:pPr>
      <w:r w:rsidRPr="00C806A2">
        <w:rPr>
          <w:rFonts w:ascii="Palatino Linotype" w:hAnsi="Palatino Linotype"/>
          <w:b/>
          <w:bCs/>
          <w:color w:val="0D0D0D" w:themeColor="text1" w:themeTint="F2"/>
          <w:sz w:val="22"/>
          <w:szCs w:val="22"/>
        </w:rPr>
        <w:t>Evidence collection</w:t>
      </w:r>
      <w:r w:rsidRPr="00C806A2">
        <w:rPr>
          <w:rFonts w:ascii="Palatino Linotype" w:hAnsi="Palatino Linotype"/>
          <w:bCs/>
          <w:color w:val="0D0D0D" w:themeColor="text1" w:themeTint="F2"/>
          <w:sz w:val="22"/>
          <w:szCs w:val="22"/>
        </w:rPr>
        <w:t xml:space="preserve"> – To assist in the collection of relevant evidence, including identification and exploitation of archives, communication records, interviews of insiders and experts, and open sources. Identification of relevant potential sources of any kind. Participation in field missions as required. Collection of internet open sources with appropriate security and forensic standards. </w:t>
      </w:r>
    </w:p>
    <w:p w14:paraId="27CAEB70" w14:textId="77777777" w:rsidR="003B077E" w:rsidRPr="00C806A2" w:rsidRDefault="003B077E" w:rsidP="003B077E">
      <w:pPr>
        <w:jc w:val="both"/>
        <w:rPr>
          <w:rFonts w:ascii="Palatino Linotype" w:hAnsi="Palatino Linotype"/>
          <w:color w:val="0D0D0D" w:themeColor="text1" w:themeTint="F2"/>
          <w:sz w:val="22"/>
          <w:szCs w:val="22"/>
        </w:rPr>
      </w:pPr>
    </w:p>
    <w:p w14:paraId="2EB6F1F1" w14:textId="77777777" w:rsidR="003B077E" w:rsidRPr="00C806A2" w:rsidRDefault="003B077E" w:rsidP="003B077E">
      <w:pPr>
        <w:pStyle w:val="Heading2"/>
        <w:jc w:val="both"/>
        <w:rPr>
          <w:rFonts w:ascii="Palatino Linotype" w:hAnsi="Palatino Linotype"/>
          <w:bCs/>
          <w:color w:val="0D0D0D" w:themeColor="text1" w:themeTint="F2"/>
          <w:sz w:val="22"/>
          <w:szCs w:val="22"/>
        </w:rPr>
      </w:pPr>
      <w:r w:rsidRPr="00C806A2">
        <w:rPr>
          <w:rFonts w:ascii="Palatino Linotype" w:hAnsi="Palatino Linotype"/>
          <w:b/>
          <w:bCs/>
          <w:color w:val="0D0D0D" w:themeColor="text1" w:themeTint="F2"/>
          <w:sz w:val="22"/>
          <w:szCs w:val="22"/>
        </w:rPr>
        <w:t>Team work</w:t>
      </w:r>
      <w:r w:rsidRPr="00C806A2">
        <w:rPr>
          <w:rFonts w:ascii="Palatino Linotype" w:hAnsi="Palatino Linotype"/>
          <w:bCs/>
          <w:color w:val="0D0D0D" w:themeColor="text1" w:themeTint="F2"/>
          <w:sz w:val="22"/>
          <w:szCs w:val="22"/>
        </w:rPr>
        <w:t xml:space="preserve"> – To participate in the work of the Unified Teams, including: cooperation with fellow analysts, investigators, lawyers and other colleagues; advise to team leadership on investigative strategies and evidentiary opportunities; participation in relevant meetings and briefings.  </w:t>
      </w:r>
    </w:p>
    <w:p w14:paraId="3B6C849D" w14:textId="77777777" w:rsidR="003B077E" w:rsidRPr="00C806A2" w:rsidRDefault="003B077E" w:rsidP="003B077E">
      <w:pPr>
        <w:rPr>
          <w:rFonts w:ascii="Palatino Linotype" w:hAnsi="Palatino Linotype"/>
          <w:color w:val="0D0D0D" w:themeColor="text1" w:themeTint="F2"/>
          <w:sz w:val="22"/>
          <w:szCs w:val="22"/>
        </w:rPr>
      </w:pPr>
    </w:p>
    <w:p w14:paraId="4D28619D" w14:textId="77777777" w:rsidR="003B077E" w:rsidRPr="00C806A2" w:rsidRDefault="003B077E" w:rsidP="003B077E">
      <w:pPr>
        <w:pStyle w:val="Heading2"/>
        <w:jc w:val="both"/>
        <w:rPr>
          <w:rFonts w:ascii="Palatino Linotype" w:hAnsi="Palatino Linotype"/>
          <w:bCs/>
          <w:color w:val="0D0D0D" w:themeColor="text1" w:themeTint="F2"/>
          <w:sz w:val="22"/>
          <w:szCs w:val="22"/>
        </w:rPr>
      </w:pPr>
      <w:r w:rsidRPr="00C806A2">
        <w:rPr>
          <w:rFonts w:ascii="Palatino Linotype" w:hAnsi="Palatino Linotype"/>
          <w:b/>
          <w:bCs/>
          <w:color w:val="0D0D0D" w:themeColor="text1" w:themeTint="F2"/>
          <w:sz w:val="22"/>
          <w:szCs w:val="22"/>
        </w:rPr>
        <w:t>Testimony</w:t>
      </w:r>
      <w:r w:rsidRPr="00C806A2">
        <w:rPr>
          <w:rFonts w:ascii="Palatino Linotype" w:hAnsi="Palatino Linotype"/>
          <w:bCs/>
          <w:color w:val="0D0D0D" w:themeColor="text1" w:themeTint="F2"/>
          <w:sz w:val="22"/>
          <w:szCs w:val="22"/>
        </w:rPr>
        <w:t xml:space="preserve"> – When required, to testify in court and convey before the Judges of the ICC the relevant analysis, on the basis of specific items of evidence and analytical products. To address examination by the Prosecution and cross-examination by the Defense with high standards of integrity and accuracy.</w:t>
      </w:r>
    </w:p>
    <w:p w14:paraId="0FD9CD4D" w14:textId="77777777" w:rsidR="003B077E" w:rsidRPr="00DA334B" w:rsidRDefault="003B077E" w:rsidP="00577A7D">
      <w:pPr>
        <w:pStyle w:val="ListParagraph"/>
        <w:spacing w:before="0" w:after="0"/>
        <w:contextualSpacing w:val="0"/>
        <w:jc w:val="both"/>
        <w:rPr>
          <w:rFonts w:ascii="Palatino Linotype" w:hAnsi="Palatino Linotype" w:cs="Tahoma"/>
          <w:bCs/>
          <w:color w:val="0D0D0D" w:themeColor="text1" w:themeTint="F2"/>
        </w:rPr>
      </w:pPr>
    </w:p>
    <w:p w14:paraId="5DF0FFDA" w14:textId="77777777" w:rsidR="00806D61" w:rsidRPr="00DA334B" w:rsidRDefault="00806D61" w:rsidP="00577A7D">
      <w:pPr>
        <w:pStyle w:val="ListParagraph"/>
        <w:spacing w:before="0" w:after="0"/>
        <w:contextualSpacing w:val="0"/>
        <w:jc w:val="both"/>
        <w:rPr>
          <w:rFonts w:ascii="Palatino Linotype" w:hAnsi="Palatino Linotype" w:cs="Tahoma"/>
          <w:bCs/>
          <w:color w:val="0D0D0D" w:themeColor="text1" w:themeTint="F2"/>
        </w:rPr>
      </w:pPr>
    </w:p>
    <w:p w14:paraId="5E6A83EF" w14:textId="03D45AEC" w:rsidR="000832EC" w:rsidRPr="00DA334B" w:rsidRDefault="00CA3F65" w:rsidP="00577A7D">
      <w:pPr>
        <w:pStyle w:val="ListParagraph"/>
        <w:numPr>
          <w:ilvl w:val="0"/>
          <w:numId w:val="8"/>
        </w:numPr>
        <w:jc w:val="both"/>
        <w:rPr>
          <w:rFonts w:ascii="Palatino Linotype" w:hAnsi="Palatino Linotype" w:cs="Tahoma"/>
          <w:b/>
          <w:color w:val="0D0D0D" w:themeColor="text1" w:themeTint="F2"/>
        </w:rPr>
      </w:pPr>
      <w:r w:rsidRPr="00DA334B">
        <w:rPr>
          <w:rFonts w:ascii="Palatino Linotype" w:hAnsi="Palatino Linotype" w:cs="Tahoma"/>
          <w:b/>
          <w:color w:val="0D0D0D" w:themeColor="text1" w:themeTint="F2"/>
        </w:rPr>
        <w:t>Qualifications</w:t>
      </w:r>
      <w:r w:rsidR="002878CE" w:rsidRPr="00DA334B">
        <w:rPr>
          <w:rFonts w:ascii="Palatino Linotype" w:hAnsi="Palatino Linotype" w:cs="Tahoma"/>
          <w:b/>
          <w:color w:val="0D0D0D" w:themeColor="text1" w:themeTint="F2"/>
        </w:rPr>
        <w:t xml:space="preserve"> and Skills</w:t>
      </w:r>
    </w:p>
    <w:p w14:paraId="019443FD" w14:textId="65BB069D" w:rsidR="00806D61" w:rsidRDefault="00806D61" w:rsidP="003B077E">
      <w:pPr>
        <w:jc w:val="both"/>
        <w:rPr>
          <w:rFonts w:ascii="Palatino Linotype" w:eastAsia="Times New Roman" w:hAnsi="Palatino Linotype" w:cs="Arial"/>
          <w:color w:val="0D0D0D" w:themeColor="text1" w:themeTint="F2"/>
          <w:sz w:val="22"/>
          <w:szCs w:val="22"/>
        </w:rPr>
      </w:pPr>
    </w:p>
    <w:p w14:paraId="4E68F0D3" w14:textId="2576F850" w:rsidR="003B077E" w:rsidRPr="00C806A2" w:rsidRDefault="003B077E" w:rsidP="003B077E">
      <w:pPr>
        <w:jc w:val="both"/>
        <w:rPr>
          <w:rFonts w:ascii="Palatino Linotype" w:hAnsi="Palatino Linotype"/>
          <w:noProof/>
          <w:color w:val="0D0D0D" w:themeColor="text1" w:themeTint="F2"/>
          <w:sz w:val="22"/>
          <w:szCs w:val="22"/>
        </w:rPr>
      </w:pPr>
      <w:r w:rsidRPr="00C806A2">
        <w:rPr>
          <w:rFonts w:ascii="Palatino Linotype" w:hAnsi="Palatino Linotype"/>
          <w:b/>
          <w:noProof/>
          <w:color w:val="0D0D0D" w:themeColor="text1" w:themeTint="F2"/>
          <w:sz w:val="22"/>
          <w:szCs w:val="22"/>
        </w:rPr>
        <w:t>Analytical techniques</w:t>
      </w:r>
      <w:r w:rsidRPr="00C806A2">
        <w:rPr>
          <w:rFonts w:ascii="Palatino Linotype" w:hAnsi="Palatino Linotype"/>
          <w:noProof/>
          <w:color w:val="0D0D0D" w:themeColor="text1" w:themeTint="F2"/>
          <w:sz w:val="22"/>
          <w:szCs w:val="22"/>
        </w:rPr>
        <w:t xml:space="preserve"> – Including critical thinking,</w:t>
      </w:r>
      <w:r w:rsidR="00257CDC">
        <w:rPr>
          <w:rFonts w:ascii="Palatino Linotype" w:hAnsi="Palatino Linotype"/>
          <w:noProof/>
          <w:color w:val="0D0D0D" w:themeColor="text1" w:themeTint="F2"/>
          <w:sz w:val="22"/>
          <w:szCs w:val="22"/>
        </w:rPr>
        <w:t xml:space="preserve"> structured intelligence analysis techniques,</w:t>
      </w:r>
      <w:r w:rsidRPr="00C806A2">
        <w:rPr>
          <w:rFonts w:ascii="Palatino Linotype" w:hAnsi="Palatino Linotype"/>
          <w:noProof/>
          <w:color w:val="0D0D0D" w:themeColor="text1" w:themeTint="F2"/>
          <w:sz w:val="22"/>
          <w:szCs w:val="22"/>
        </w:rPr>
        <w:t xml:space="preserve"> processing of large amounts of complex information with appropriate software and databases, data collation and integration techniques, analytical report drafting, critical source evaluation</w:t>
      </w:r>
      <w:r w:rsidR="00257CDC">
        <w:rPr>
          <w:rFonts w:ascii="Palatino Linotype" w:hAnsi="Palatino Linotype"/>
          <w:noProof/>
          <w:color w:val="0D0D0D" w:themeColor="text1" w:themeTint="F2"/>
          <w:sz w:val="22"/>
          <w:szCs w:val="22"/>
        </w:rPr>
        <w:t xml:space="preserve"> (credibility, reliability, etc.)</w:t>
      </w:r>
      <w:r w:rsidRPr="00C806A2">
        <w:rPr>
          <w:rFonts w:ascii="Palatino Linotype" w:hAnsi="Palatino Linotype"/>
          <w:noProof/>
          <w:color w:val="0D0D0D" w:themeColor="text1" w:themeTint="F2"/>
          <w:sz w:val="22"/>
          <w:szCs w:val="22"/>
        </w:rPr>
        <w:t>, crime pattern analysis</w:t>
      </w:r>
      <w:r w:rsidR="00257CDC">
        <w:rPr>
          <w:rFonts w:ascii="Palatino Linotype" w:hAnsi="Palatino Linotype"/>
          <w:noProof/>
          <w:color w:val="0D0D0D" w:themeColor="text1" w:themeTint="F2"/>
          <w:sz w:val="22"/>
          <w:szCs w:val="22"/>
        </w:rPr>
        <w:t xml:space="preserve"> (crime statistics, typologies, timelines, geographical </w:t>
      </w:r>
      <w:r w:rsidR="00257CDC">
        <w:rPr>
          <w:rFonts w:ascii="Palatino Linotype" w:hAnsi="Palatino Linotype"/>
          <w:noProof/>
          <w:color w:val="0D0D0D" w:themeColor="text1" w:themeTint="F2"/>
          <w:sz w:val="22"/>
          <w:szCs w:val="22"/>
        </w:rPr>
        <w:lastRenderedPageBreak/>
        <w:t xml:space="preserve">analysis, etc.) </w:t>
      </w:r>
      <w:r w:rsidRPr="00C806A2">
        <w:rPr>
          <w:rFonts w:ascii="Palatino Linotype" w:hAnsi="Palatino Linotype"/>
          <w:noProof/>
          <w:color w:val="0D0D0D" w:themeColor="text1" w:themeTint="F2"/>
          <w:sz w:val="22"/>
          <w:szCs w:val="22"/>
        </w:rPr>
        <w:t xml:space="preserve">, </w:t>
      </w:r>
      <w:r w:rsidR="00257CDC">
        <w:rPr>
          <w:rFonts w:ascii="Palatino Linotype" w:hAnsi="Palatino Linotype"/>
          <w:noProof/>
          <w:color w:val="0D0D0D" w:themeColor="text1" w:themeTint="F2"/>
          <w:sz w:val="22"/>
          <w:szCs w:val="22"/>
        </w:rPr>
        <w:t xml:space="preserve">network analysis, </w:t>
      </w:r>
      <w:r w:rsidRPr="00C806A2">
        <w:rPr>
          <w:rFonts w:ascii="Palatino Linotype" w:hAnsi="Palatino Linotype"/>
          <w:noProof/>
          <w:color w:val="0D0D0D" w:themeColor="text1" w:themeTint="F2"/>
          <w:sz w:val="22"/>
          <w:szCs w:val="22"/>
        </w:rPr>
        <w:t>production of anal</w:t>
      </w:r>
      <w:r>
        <w:rPr>
          <w:rFonts w:ascii="Palatino Linotype" w:hAnsi="Palatino Linotype"/>
          <w:noProof/>
          <w:color w:val="0D0D0D" w:themeColor="text1" w:themeTint="F2"/>
          <w:sz w:val="22"/>
          <w:szCs w:val="22"/>
        </w:rPr>
        <w:t>y</w:t>
      </w:r>
      <w:r w:rsidRPr="00C806A2">
        <w:rPr>
          <w:rFonts w:ascii="Palatino Linotype" w:hAnsi="Palatino Linotype"/>
          <w:noProof/>
          <w:color w:val="0D0D0D" w:themeColor="text1" w:themeTint="F2"/>
          <w:sz w:val="22"/>
          <w:szCs w:val="22"/>
        </w:rPr>
        <w:t>tical charts, analysis of documentary records</w:t>
      </w:r>
      <w:r w:rsidR="00257CDC">
        <w:rPr>
          <w:rFonts w:ascii="Palatino Linotype" w:hAnsi="Palatino Linotype"/>
          <w:noProof/>
          <w:color w:val="0D0D0D" w:themeColor="text1" w:themeTint="F2"/>
          <w:sz w:val="22"/>
          <w:szCs w:val="22"/>
        </w:rPr>
        <w:t xml:space="preserve"> (content and meta-data)</w:t>
      </w:r>
      <w:r w:rsidRPr="00C806A2">
        <w:rPr>
          <w:rFonts w:ascii="Palatino Linotype" w:hAnsi="Palatino Linotype"/>
          <w:noProof/>
          <w:color w:val="0D0D0D" w:themeColor="text1" w:themeTint="F2"/>
          <w:sz w:val="22"/>
          <w:szCs w:val="22"/>
        </w:rPr>
        <w:t>, and analysis of communications</w:t>
      </w:r>
      <w:r w:rsidR="00257CDC">
        <w:rPr>
          <w:rFonts w:ascii="Palatino Linotype" w:hAnsi="Palatino Linotype"/>
          <w:noProof/>
          <w:color w:val="0D0D0D" w:themeColor="text1" w:themeTint="F2"/>
          <w:sz w:val="22"/>
          <w:szCs w:val="22"/>
        </w:rPr>
        <w:t xml:space="preserve"> (phone Call Data Records, e-mail trafic, seized devises, intercepts, etc.)</w:t>
      </w:r>
      <w:r w:rsidRPr="00C806A2">
        <w:rPr>
          <w:rFonts w:ascii="Palatino Linotype" w:hAnsi="Palatino Linotype"/>
          <w:noProof/>
          <w:color w:val="0D0D0D" w:themeColor="text1" w:themeTint="F2"/>
          <w:sz w:val="22"/>
          <w:szCs w:val="22"/>
        </w:rPr>
        <w:t>.</w:t>
      </w:r>
    </w:p>
    <w:p w14:paraId="2AEBBEBF" w14:textId="77777777" w:rsidR="003B077E" w:rsidRPr="00C806A2" w:rsidRDefault="003B077E" w:rsidP="003B077E">
      <w:pPr>
        <w:pStyle w:val="ListParagraph"/>
        <w:ind w:left="0"/>
        <w:jc w:val="both"/>
        <w:rPr>
          <w:rFonts w:ascii="Palatino Linotype" w:hAnsi="Palatino Linotype"/>
          <w:b/>
          <w:noProof/>
          <w:color w:val="0D0D0D" w:themeColor="text1" w:themeTint="F2"/>
        </w:rPr>
      </w:pPr>
    </w:p>
    <w:p w14:paraId="31017509" w14:textId="77777777" w:rsidR="003B077E" w:rsidRPr="00C806A2" w:rsidRDefault="003B077E" w:rsidP="003B077E">
      <w:pPr>
        <w:jc w:val="both"/>
        <w:rPr>
          <w:rFonts w:ascii="Palatino Linotype" w:hAnsi="Palatino Linotype"/>
          <w:noProof/>
          <w:color w:val="0D0D0D" w:themeColor="text1" w:themeTint="F2"/>
          <w:sz w:val="22"/>
          <w:szCs w:val="22"/>
        </w:rPr>
      </w:pPr>
      <w:r w:rsidRPr="00C806A2">
        <w:rPr>
          <w:rFonts w:ascii="Palatino Linotype" w:hAnsi="Palatino Linotype"/>
          <w:b/>
          <w:noProof/>
          <w:color w:val="0D0D0D" w:themeColor="text1" w:themeTint="F2"/>
          <w:sz w:val="22"/>
          <w:szCs w:val="22"/>
        </w:rPr>
        <w:t>Analytical software</w:t>
      </w:r>
      <w:r w:rsidRPr="00C806A2">
        <w:rPr>
          <w:rFonts w:ascii="Palatino Linotype" w:hAnsi="Palatino Linotype"/>
          <w:noProof/>
          <w:color w:val="0D0D0D" w:themeColor="text1" w:themeTint="F2"/>
          <w:sz w:val="22"/>
          <w:szCs w:val="22"/>
        </w:rPr>
        <w:t xml:space="preserve"> – Including relational databases, tools to chart entities and relationships, OSINT, and GIS (Geographic Information Systems). </w:t>
      </w:r>
    </w:p>
    <w:p w14:paraId="1FF3B755" w14:textId="77777777" w:rsidR="003B077E" w:rsidRPr="00C806A2" w:rsidRDefault="003B077E" w:rsidP="003B077E">
      <w:pPr>
        <w:pStyle w:val="ListParagraph"/>
        <w:ind w:left="0"/>
        <w:jc w:val="both"/>
        <w:rPr>
          <w:rFonts w:ascii="Palatino Linotype" w:hAnsi="Palatino Linotype"/>
          <w:noProof/>
          <w:color w:val="0D0D0D" w:themeColor="text1" w:themeTint="F2"/>
        </w:rPr>
      </w:pPr>
    </w:p>
    <w:p w14:paraId="63CD0248" w14:textId="0F5966E7" w:rsidR="003B077E" w:rsidRPr="00C806A2" w:rsidRDefault="003B077E" w:rsidP="003B077E">
      <w:pPr>
        <w:jc w:val="both"/>
        <w:rPr>
          <w:rFonts w:ascii="Palatino Linotype" w:hAnsi="Palatino Linotype"/>
          <w:noProof/>
          <w:color w:val="0D0D0D" w:themeColor="text1" w:themeTint="F2"/>
          <w:sz w:val="22"/>
          <w:szCs w:val="22"/>
        </w:rPr>
      </w:pPr>
      <w:r w:rsidRPr="00C806A2">
        <w:rPr>
          <w:rFonts w:ascii="Palatino Linotype" w:hAnsi="Palatino Linotype"/>
          <w:b/>
          <w:noProof/>
          <w:color w:val="0D0D0D" w:themeColor="text1" w:themeTint="F2"/>
          <w:sz w:val="22"/>
          <w:szCs w:val="22"/>
        </w:rPr>
        <w:t>Education</w:t>
      </w:r>
      <w:r w:rsidRPr="00C806A2">
        <w:rPr>
          <w:rFonts w:ascii="Palatino Linotype" w:hAnsi="Palatino Linotype"/>
          <w:noProof/>
          <w:color w:val="0D0D0D" w:themeColor="text1" w:themeTint="F2"/>
          <w:sz w:val="22"/>
          <w:szCs w:val="22"/>
        </w:rPr>
        <w:t xml:space="preserve"> – University degree in relevant areas (social scienc</w:t>
      </w:r>
      <w:r w:rsidR="004F31E2">
        <w:rPr>
          <w:rFonts w:ascii="Palatino Linotype" w:hAnsi="Palatino Linotype"/>
          <w:noProof/>
          <w:color w:val="0D0D0D" w:themeColor="text1" w:themeTint="F2"/>
          <w:sz w:val="22"/>
          <w:szCs w:val="22"/>
        </w:rPr>
        <w:t xml:space="preserve">es, law, etc.) and certified </w:t>
      </w:r>
      <w:r w:rsidRPr="00C806A2">
        <w:rPr>
          <w:rFonts w:ascii="Palatino Linotype" w:hAnsi="Palatino Linotype"/>
          <w:noProof/>
          <w:color w:val="0D0D0D" w:themeColor="text1" w:themeTint="F2"/>
          <w:sz w:val="22"/>
          <w:szCs w:val="22"/>
        </w:rPr>
        <w:t xml:space="preserve">training in </w:t>
      </w:r>
      <w:r w:rsidR="004F31E2">
        <w:rPr>
          <w:rFonts w:ascii="Palatino Linotype" w:hAnsi="Palatino Linotype"/>
          <w:noProof/>
          <w:color w:val="0D0D0D" w:themeColor="text1" w:themeTint="F2"/>
          <w:sz w:val="22"/>
          <w:szCs w:val="22"/>
        </w:rPr>
        <w:t>analysis techniques</w:t>
      </w:r>
      <w:r w:rsidRPr="00C806A2">
        <w:rPr>
          <w:rFonts w:ascii="Palatino Linotype" w:hAnsi="Palatino Linotype"/>
          <w:noProof/>
          <w:color w:val="0D0D0D" w:themeColor="text1" w:themeTint="F2"/>
          <w:sz w:val="22"/>
          <w:szCs w:val="22"/>
        </w:rPr>
        <w:t>.</w:t>
      </w:r>
    </w:p>
    <w:p w14:paraId="4ADD6C28" w14:textId="77777777" w:rsidR="003B077E" w:rsidRPr="00C806A2" w:rsidRDefault="003B077E" w:rsidP="003B077E">
      <w:pPr>
        <w:pStyle w:val="ListParagraph"/>
        <w:ind w:left="0"/>
        <w:jc w:val="both"/>
        <w:rPr>
          <w:rFonts w:ascii="Palatino Linotype" w:hAnsi="Palatino Linotype"/>
          <w:noProof/>
          <w:color w:val="0D0D0D" w:themeColor="text1" w:themeTint="F2"/>
        </w:rPr>
      </w:pPr>
    </w:p>
    <w:p w14:paraId="2B8B18DE" w14:textId="77777777" w:rsidR="003B077E" w:rsidRPr="00C806A2" w:rsidRDefault="003B077E" w:rsidP="003B077E">
      <w:pPr>
        <w:jc w:val="both"/>
        <w:rPr>
          <w:rFonts w:ascii="Palatino Linotype" w:hAnsi="Palatino Linotype"/>
          <w:noProof/>
          <w:color w:val="0D0D0D" w:themeColor="text1" w:themeTint="F2"/>
          <w:sz w:val="22"/>
          <w:szCs w:val="22"/>
        </w:rPr>
      </w:pPr>
      <w:r w:rsidRPr="00C806A2">
        <w:rPr>
          <w:rFonts w:ascii="Palatino Linotype" w:hAnsi="Palatino Linotype"/>
          <w:b/>
          <w:noProof/>
          <w:color w:val="0D0D0D" w:themeColor="text1" w:themeTint="F2"/>
          <w:sz w:val="22"/>
          <w:szCs w:val="22"/>
        </w:rPr>
        <w:t>Law</w:t>
      </w:r>
      <w:r w:rsidRPr="00C806A2">
        <w:rPr>
          <w:rFonts w:ascii="Palatino Linotype" w:hAnsi="Palatino Linotype"/>
          <w:noProof/>
          <w:color w:val="0D0D0D" w:themeColor="text1" w:themeTint="F2"/>
          <w:sz w:val="22"/>
          <w:szCs w:val="22"/>
        </w:rPr>
        <w:t xml:space="preserve"> – Understanding of the substantive law (focus on International Humanitarian Law, and ICC Elements of the Crimes) and procedural law (ICC Statute and Rules of Procedure and Evidence). </w:t>
      </w:r>
    </w:p>
    <w:p w14:paraId="1245CA6D"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p>
    <w:p w14:paraId="1A737FE8"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r w:rsidRPr="00C806A2">
        <w:rPr>
          <w:rFonts w:ascii="Palatino Linotype" w:eastAsia="Times New Roman" w:hAnsi="Palatino Linotype" w:cs="Arial"/>
          <w:b/>
          <w:color w:val="0D0D0D" w:themeColor="text1" w:themeTint="F2"/>
          <w:sz w:val="22"/>
          <w:szCs w:val="22"/>
        </w:rPr>
        <w:t>Confidentiality</w:t>
      </w:r>
      <w:r w:rsidRPr="00C806A2">
        <w:rPr>
          <w:rFonts w:ascii="Palatino Linotype" w:eastAsia="Times New Roman" w:hAnsi="Palatino Linotype" w:cs="Arial"/>
          <w:color w:val="0D0D0D" w:themeColor="text1" w:themeTint="F2"/>
          <w:sz w:val="22"/>
          <w:szCs w:val="22"/>
        </w:rPr>
        <w:t xml:space="preserve"> – Ability to keep strict confidentiality and information-security standards;</w:t>
      </w:r>
    </w:p>
    <w:p w14:paraId="5BFEA59F"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p>
    <w:p w14:paraId="5324A365"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r w:rsidRPr="00C806A2">
        <w:rPr>
          <w:rFonts w:ascii="Palatino Linotype" w:eastAsia="Times New Roman" w:hAnsi="Palatino Linotype" w:cs="Arial"/>
          <w:b/>
          <w:color w:val="0D0D0D" w:themeColor="text1" w:themeTint="F2"/>
          <w:sz w:val="22"/>
          <w:szCs w:val="22"/>
        </w:rPr>
        <w:t>Interaction</w:t>
      </w:r>
      <w:r w:rsidRPr="00C806A2">
        <w:rPr>
          <w:rFonts w:ascii="Palatino Linotype" w:eastAsia="Times New Roman" w:hAnsi="Palatino Linotype" w:cs="Arial"/>
          <w:color w:val="0D0D0D" w:themeColor="text1" w:themeTint="F2"/>
          <w:sz w:val="22"/>
          <w:szCs w:val="22"/>
        </w:rPr>
        <w:t xml:space="preserve"> – Ability to communicate effectively, and to cooperate within highly diverse teams; flexibility and ability to work under stressful conditions;</w:t>
      </w:r>
    </w:p>
    <w:p w14:paraId="3F9D4357"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p>
    <w:p w14:paraId="0F2D3ECB" w14:textId="07AD710A" w:rsidR="003B077E" w:rsidRPr="00C806A2" w:rsidRDefault="003B077E" w:rsidP="003B077E">
      <w:pPr>
        <w:jc w:val="both"/>
        <w:rPr>
          <w:rFonts w:ascii="Palatino Linotype" w:eastAsia="Times New Roman" w:hAnsi="Palatino Linotype" w:cs="Arial"/>
          <w:color w:val="0D0D0D" w:themeColor="text1" w:themeTint="F2"/>
          <w:sz w:val="22"/>
          <w:szCs w:val="22"/>
        </w:rPr>
      </w:pPr>
      <w:r w:rsidRPr="00C806A2">
        <w:rPr>
          <w:rFonts w:ascii="Palatino Linotype" w:eastAsia="Times New Roman" w:hAnsi="Palatino Linotype" w:cs="Arial"/>
          <w:b/>
          <w:color w:val="0D0D0D" w:themeColor="text1" w:themeTint="F2"/>
          <w:sz w:val="22"/>
          <w:szCs w:val="22"/>
        </w:rPr>
        <w:t>Experience</w:t>
      </w:r>
      <w:r w:rsidRPr="00C806A2">
        <w:rPr>
          <w:rFonts w:ascii="Palatino Linotype" w:eastAsia="Times New Roman" w:hAnsi="Palatino Linotype" w:cs="Arial"/>
          <w:color w:val="0D0D0D" w:themeColor="text1" w:themeTint="F2"/>
          <w:sz w:val="22"/>
          <w:szCs w:val="22"/>
        </w:rPr>
        <w:t xml:space="preserve"> – Investigative experience is </w:t>
      </w:r>
      <w:r w:rsidR="004F31E2">
        <w:rPr>
          <w:rFonts w:ascii="Palatino Linotype" w:eastAsia="Times New Roman" w:hAnsi="Palatino Linotype" w:cs="Arial"/>
          <w:color w:val="0D0D0D" w:themeColor="text1" w:themeTint="F2"/>
          <w:sz w:val="22"/>
          <w:szCs w:val="22"/>
        </w:rPr>
        <w:t>required</w:t>
      </w:r>
      <w:r w:rsidRPr="00C806A2">
        <w:rPr>
          <w:rFonts w:ascii="Palatino Linotype" w:eastAsia="Times New Roman" w:hAnsi="Palatino Linotype" w:cs="Arial"/>
          <w:color w:val="0D0D0D" w:themeColor="text1" w:themeTint="F2"/>
          <w:sz w:val="22"/>
          <w:szCs w:val="22"/>
        </w:rPr>
        <w:t xml:space="preserve"> (disciplinary, criminal, financial, etc.), and desirable for the investigation of international crimes (war crimes, crimes against humanity, genocide);</w:t>
      </w:r>
    </w:p>
    <w:p w14:paraId="55CEB196" w14:textId="77777777" w:rsidR="003B077E" w:rsidRPr="00C806A2" w:rsidRDefault="003B077E" w:rsidP="003B077E">
      <w:pPr>
        <w:jc w:val="both"/>
        <w:rPr>
          <w:rFonts w:ascii="Palatino Linotype" w:eastAsia="Times New Roman" w:hAnsi="Palatino Linotype" w:cs="Arial"/>
          <w:b/>
          <w:color w:val="0D0D0D" w:themeColor="text1" w:themeTint="F2"/>
          <w:sz w:val="22"/>
          <w:szCs w:val="22"/>
        </w:rPr>
      </w:pPr>
    </w:p>
    <w:p w14:paraId="757F980A"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r w:rsidRPr="00C806A2">
        <w:rPr>
          <w:rFonts w:ascii="Palatino Linotype" w:eastAsia="Times New Roman" w:hAnsi="Palatino Linotype" w:cs="Arial"/>
          <w:b/>
          <w:color w:val="0D0D0D" w:themeColor="text1" w:themeTint="F2"/>
          <w:sz w:val="22"/>
          <w:szCs w:val="22"/>
        </w:rPr>
        <w:t>Languages</w:t>
      </w:r>
      <w:r w:rsidRPr="00C806A2">
        <w:rPr>
          <w:rFonts w:ascii="Palatino Linotype" w:eastAsia="Times New Roman" w:hAnsi="Palatino Linotype" w:cs="Arial"/>
          <w:color w:val="0D0D0D" w:themeColor="text1" w:themeTint="F2"/>
          <w:sz w:val="22"/>
          <w:szCs w:val="22"/>
        </w:rPr>
        <w:t xml:space="preserve"> – </w:t>
      </w:r>
      <w:r w:rsidRPr="00C806A2">
        <w:rPr>
          <w:rFonts w:ascii="Palatino Linotype" w:hAnsi="Palatino Linotype"/>
          <w:color w:val="0D0D0D" w:themeColor="text1" w:themeTint="F2"/>
          <w:sz w:val="22"/>
          <w:szCs w:val="22"/>
        </w:rPr>
        <w:t>Proficiency in at least in one of the working languages of the Court, English or French. Working knowledge of the other, or of languages specifically relevant to ongoing investigations, is considered a strong asset. Knowledge of another official language of the Court (Arabic, Chinese, Russian and Spanish) is considered an asset.</w:t>
      </w:r>
    </w:p>
    <w:p w14:paraId="3AF89B96" w14:textId="77777777" w:rsidR="003B077E" w:rsidRPr="00C806A2" w:rsidRDefault="003B077E" w:rsidP="003B077E">
      <w:pPr>
        <w:jc w:val="both"/>
        <w:rPr>
          <w:rFonts w:ascii="Palatino Linotype" w:eastAsia="Times New Roman" w:hAnsi="Palatino Linotype" w:cs="Arial"/>
          <w:b/>
          <w:color w:val="0D0D0D" w:themeColor="text1" w:themeTint="F2"/>
          <w:sz w:val="22"/>
          <w:szCs w:val="22"/>
        </w:rPr>
      </w:pPr>
    </w:p>
    <w:p w14:paraId="6E75AF51" w14:textId="77777777" w:rsidR="003B077E" w:rsidRPr="00C806A2" w:rsidRDefault="003B077E" w:rsidP="003B077E">
      <w:pPr>
        <w:jc w:val="both"/>
        <w:rPr>
          <w:rFonts w:ascii="Palatino Linotype" w:eastAsia="Times New Roman" w:hAnsi="Palatino Linotype" w:cs="Arial"/>
          <w:color w:val="0D0D0D" w:themeColor="text1" w:themeTint="F2"/>
          <w:sz w:val="22"/>
          <w:szCs w:val="22"/>
        </w:rPr>
      </w:pPr>
      <w:r w:rsidRPr="00C806A2">
        <w:rPr>
          <w:rFonts w:ascii="Palatino Linotype" w:eastAsia="Times New Roman" w:hAnsi="Palatino Linotype" w:cs="Arial"/>
          <w:b/>
          <w:color w:val="0D0D0D" w:themeColor="text1" w:themeTint="F2"/>
          <w:sz w:val="22"/>
          <w:szCs w:val="22"/>
        </w:rPr>
        <w:t>Field deployment</w:t>
      </w:r>
      <w:r w:rsidRPr="00C806A2">
        <w:rPr>
          <w:rFonts w:ascii="Palatino Linotype" w:eastAsia="Times New Roman" w:hAnsi="Palatino Linotype" w:cs="Arial"/>
          <w:color w:val="0D0D0D" w:themeColor="text1" w:themeTint="F2"/>
          <w:sz w:val="22"/>
          <w:szCs w:val="22"/>
        </w:rPr>
        <w:t xml:space="preserve"> – Ability to participate in field missions and comply with relevant operational and security standards;</w:t>
      </w:r>
    </w:p>
    <w:p w14:paraId="52F9A62D" w14:textId="77777777" w:rsidR="003B077E" w:rsidRPr="00DA334B" w:rsidRDefault="003B077E" w:rsidP="003B077E">
      <w:pPr>
        <w:jc w:val="both"/>
        <w:rPr>
          <w:rFonts w:ascii="Palatino Linotype" w:eastAsia="Times New Roman" w:hAnsi="Palatino Linotype" w:cs="Arial"/>
          <w:color w:val="0D0D0D" w:themeColor="text1" w:themeTint="F2"/>
          <w:sz w:val="22"/>
          <w:szCs w:val="22"/>
        </w:rPr>
      </w:pPr>
    </w:p>
    <w:sectPr w:rsidR="003B077E" w:rsidRPr="00DA33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1F50D" w14:textId="77777777" w:rsidR="00DD6692" w:rsidRDefault="00DD6692" w:rsidP="00AE25A6">
      <w:r>
        <w:separator/>
      </w:r>
    </w:p>
  </w:endnote>
  <w:endnote w:type="continuationSeparator" w:id="0">
    <w:p w14:paraId="4BBF84EB" w14:textId="77777777" w:rsidR="00DD6692" w:rsidRDefault="00DD6692" w:rsidP="00AE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LTStd-Ligh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6CC4" w14:textId="77777777" w:rsidR="00DD6692" w:rsidRDefault="00DD6692" w:rsidP="00AE25A6">
      <w:r>
        <w:separator/>
      </w:r>
    </w:p>
  </w:footnote>
  <w:footnote w:type="continuationSeparator" w:id="0">
    <w:p w14:paraId="04737C3D" w14:textId="77777777" w:rsidR="00DD6692" w:rsidRDefault="00DD6692" w:rsidP="00AE2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844"/>
    <w:multiLevelType w:val="multilevel"/>
    <w:tmpl w:val="1C9E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77AD"/>
    <w:multiLevelType w:val="multilevel"/>
    <w:tmpl w:val="DDD24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C239B"/>
    <w:multiLevelType w:val="hybridMultilevel"/>
    <w:tmpl w:val="7A8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2399E"/>
    <w:multiLevelType w:val="hybridMultilevel"/>
    <w:tmpl w:val="68BC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25FFC"/>
    <w:multiLevelType w:val="multilevel"/>
    <w:tmpl w:val="48741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D5D75"/>
    <w:multiLevelType w:val="hybridMultilevel"/>
    <w:tmpl w:val="DA86C372"/>
    <w:lvl w:ilvl="0" w:tplc="7D5CA72A">
      <w:start w:val="1"/>
      <w:numFmt w:val="bullet"/>
      <w:lvlText w:val=""/>
      <w:lvlJc w:val="left"/>
      <w:pPr>
        <w:tabs>
          <w:tab w:val="num" w:pos="720"/>
        </w:tabs>
        <w:ind w:left="720" w:hanging="360"/>
      </w:pPr>
      <w:rPr>
        <w:rFonts w:ascii="Symbol" w:hAnsi="Symbol" w:hint="default"/>
        <w:lang w:val="en-G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D0F1173"/>
    <w:multiLevelType w:val="hybridMultilevel"/>
    <w:tmpl w:val="B762A5C0"/>
    <w:lvl w:ilvl="0" w:tplc="A8F42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B22D0D"/>
    <w:multiLevelType w:val="multilevel"/>
    <w:tmpl w:val="F5F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E76F6"/>
    <w:multiLevelType w:val="hybridMultilevel"/>
    <w:tmpl w:val="22E29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44C06"/>
    <w:multiLevelType w:val="hybridMultilevel"/>
    <w:tmpl w:val="9E9A0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64CD1"/>
    <w:multiLevelType w:val="hybridMultilevel"/>
    <w:tmpl w:val="AF828500"/>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812E7E"/>
    <w:multiLevelType w:val="hybridMultilevel"/>
    <w:tmpl w:val="A880D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82569"/>
    <w:multiLevelType w:val="multilevel"/>
    <w:tmpl w:val="D3E8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E0430"/>
    <w:multiLevelType w:val="multilevel"/>
    <w:tmpl w:val="C57C9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A2D7D"/>
    <w:multiLevelType w:val="hybridMultilevel"/>
    <w:tmpl w:val="A07A03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2A0E8E"/>
    <w:multiLevelType w:val="hybridMultilevel"/>
    <w:tmpl w:val="240424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325029"/>
    <w:multiLevelType w:val="hybridMultilevel"/>
    <w:tmpl w:val="19808B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EAB6438"/>
    <w:multiLevelType w:val="hybridMultilevel"/>
    <w:tmpl w:val="01A8CAA2"/>
    <w:lvl w:ilvl="0" w:tplc="08090019">
      <w:start w:val="1"/>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6A856A6"/>
    <w:multiLevelType w:val="hybridMultilevel"/>
    <w:tmpl w:val="A8D6A3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0"/>
  </w:num>
  <w:num w:numId="5">
    <w:abstractNumId w:val="7"/>
  </w:num>
  <w:num w:numId="6">
    <w:abstractNumId w:val="4"/>
  </w:num>
  <w:num w:numId="7">
    <w:abstractNumId w:val="5"/>
  </w:num>
  <w:num w:numId="8">
    <w:abstractNumId w:val="6"/>
  </w:num>
  <w:num w:numId="9">
    <w:abstractNumId w:val="10"/>
  </w:num>
  <w:num w:numId="10">
    <w:abstractNumId w:val="16"/>
  </w:num>
  <w:num w:numId="11">
    <w:abstractNumId w:val="17"/>
  </w:num>
  <w:num w:numId="12">
    <w:abstractNumId w:val="9"/>
  </w:num>
  <w:num w:numId="13">
    <w:abstractNumId w:val="2"/>
  </w:num>
  <w:num w:numId="14">
    <w:abstractNumId w:val="15"/>
  </w:num>
  <w:num w:numId="15">
    <w:abstractNumId w:val="3"/>
  </w:num>
  <w:num w:numId="16">
    <w:abstractNumId w:val="8"/>
  </w:num>
  <w:num w:numId="17">
    <w:abstractNumId w:val="14"/>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8B"/>
    <w:rsid w:val="000168F2"/>
    <w:rsid w:val="00071A79"/>
    <w:rsid w:val="000832EC"/>
    <w:rsid w:val="000C4374"/>
    <w:rsid w:val="000D4AB3"/>
    <w:rsid w:val="001331BE"/>
    <w:rsid w:val="001A506E"/>
    <w:rsid w:val="002312F1"/>
    <w:rsid w:val="002435D9"/>
    <w:rsid w:val="00257CDC"/>
    <w:rsid w:val="0026193A"/>
    <w:rsid w:val="00274372"/>
    <w:rsid w:val="00281669"/>
    <w:rsid w:val="00284982"/>
    <w:rsid w:val="002878CE"/>
    <w:rsid w:val="002B098B"/>
    <w:rsid w:val="003227B6"/>
    <w:rsid w:val="003277B1"/>
    <w:rsid w:val="003B077E"/>
    <w:rsid w:val="00421CF7"/>
    <w:rsid w:val="0045218E"/>
    <w:rsid w:val="004620B0"/>
    <w:rsid w:val="004F31E2"/>
    <w:rsid w:val="005477A4"/>
    <w:rsid w:val="00577A7D"/>
    <w:rsid w:val="005B1B7D"/>
    <w:rsid w:val="00625EFB"/>
    <w:rsid w:val="006B5F0B"/>
    <w:rsid w:val="00786487"/>
    <w:rsid w:val="0080691E"/>
    <w:rsid w:val="00806D61"/>
    <w:rsid w:val="00865BDA"/>
    <w:rsid w:val="00962AEE"/>
    <w:rsid w:val="00A67FB1"/>
    <w:rsid w:val="00AE25A6"/>
    <w:rsid w:val="00AF0634"/>
    <w:rsid w:val="00B00C2F"/>
    <w:rsid w:val="00B15AE1"/>
    <w:rsid w:val="00BE3E46"/>
    <w:rsid w:val="00C1585F"/>
    <w:rsid w:val="00C806A2"/>
    <w:rsid w:val="00C91B75"/>
    <w:rsid w:val="00CA3F65"/>
    <w:rsid w:val="00CC5F49"/>
    <w:rsid w:val="00D6328A"/>
    <w:rsid w:val="00DA334B"/>
    <w:rsid w:val="00DD6692"/>
    <w:rsid w:val="00DE77E8"/>
    <w:rsid w:val="00DF0BC5"/>
    <w:rsid w:val="00DF56A3"/>
    <w:rsid w:val="00E20FBD"/>
    <w:rsid w:val="00E27239"/>
    <w:rsid w:val="00E37CB9"/>
    <w:rsid w:val="00EF5DC7"/>
    <w:rsid w:val="00F54908"/>
    <w:rsid w:val="00FA6A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2FD2"/>
  <w15:docId w15:val="{B24A9AE7-4EB7-48E6-B65C-79367D81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98B"/>
    <w:pPr>
      <w:spacing w:after="0" w:line="240" w:lineRule="auto"/>
    </w:pPr>
    <w:rPr>
      <w:rFonts w:ascii="Calibri" w:hAnsi="Calibri" w:cs="Times New Roman"/>
      <w:sz w:val="20"/>
      <w:szCs w:val="20"/>
      <w:lang w:eastAsia="en-GB"/>
    </w:rPr>
  </w:style>
  <w:style w:type="paragraph" w:styleId="Heading1">
    <w:name w:val="heading 1"/>
    <w:basedOn w:val="Normal"/>
    <w:link w:val="Heading1Char"/>
    <w:uiPriority w:val="9"/>
    <w:qFormat/>
    <w:rsid w:val="002B09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F56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8B"/>
    <w:rPr>
      <w:rFonts w:ascii="Calibri" w:hAnsi="Calibri" w:cs="Times New Roman"/>
      <w:b/>
      <w:bCs/>
      <w:kern w:val="36"/>
      <w:sz w:val="48"/>
      <w:szCs w:val="48"/>
      <w:lang w:eastAsia="en-GB"/>
    </w:rPr>
  </w:style>
  <w:style w:type="paragraph" w:styleId="NormalWeb">
    <w:name w:val="Normal (Web)"/>
    <w:basedOn w:val="Normal"/>
    <w:uiPriority w:val="99"/>
    <w:unhideWhenUsed/>
    <w:rsid w:val="002B098B"/>
    <w:pPr>
      <w:spacing w:before="100" w:beforeAutospacing="1" w:after="100" w:afterAutospacing="1"/>
    </w:pPr>
    <w:rPr>
      <w:sz w:val="22"/>
      <w:szCs w:val="22"/>
    </w:rPr>
  </w:style>
  <w:style w:type="character" w:styleId="Strong">
    <w:name w:val="Strong"/>
    <w:basedOn w:val="DefaultParagraphFont"/>
    <w:uiPriority w:val="22"/>
    <w:qFormat/>
    <w:rsid w:val="002B098B"/>
    <w:rPr>
      <w:b/>
      <w:bCs/>
    </w:rPr>
  </w:style>
  <w:style w:type="character" w:styleId="Emphasis">
    <w:name w:val="Emphasis"/>
    <w:basedOn w:val="DefaultParagraphFont"/>
    <w:uiPriority w:val="20"/>
    <w:qFormat/>
    <w:rsid w:val="002B098B"/>
    <w:rPr>
      <w:i/>
      <w:iCs/>
    </w:rPr>
  </w:style>
  <w:style w:type="paragraph" w:styleId="BalloonText">
    <w:name w:val="Balloon Text"/>
    <w:basedOn w:val="Normal"/>
    <w:link w:val="BalloonTextChar"/>
    <w:uiPriority w:val="99"/>
    <w:semiHidden/>
    <w:unhideWhenUsed/>
    <w:rsid w:val="002B098B"/>
    <w:rPr>
      <w:rFonts w:ascii="Tahoma" w:hAnsi="Tahoma" w:cs="Tahoma"/>
      <w:sz w:val="16"/>
      <w:szCs w:val="16"/>
    </w:rPr>
  </w:style>
  <w:style w:type="character" w:customStyle="1" w:styleId="BalloonTextChar">
    <w:name w:val="Balloon Text Char"/>
    <w:basedOn w:val="DefaultParagraphFont"/>
    <w:link w:val="BalloonText"/>
    <w:uiPriority w:val="99"/>
    <w:semiHidden/>
    <w:rsid w:val="002B098B"/>
    <w:rPr>
      <w:rFonts w:ascii="Tahoma" w:hAnsi="Tahoma" w:cs="Tahoma"/>
      <w:sz w:val="16"/>
      <w:szCs w:val="16"/>
      <w:lang w:eastAsia="en-GB"/>
    </w:rPr>
  </w:style>
  <w:style w:type="character" w:styleId="CommentReference">
    <w:name w:val="annotation reference"/>
    <w:basedOn w:val="DefaultParagraphFont"/>
    <w:uiPriority w:val="99"/>
    <w:semiHidden/>
    <w:unhideWhenUsed/>
    <w:rsid w:val="0026193A"/>
    <w:rPr>
      <w:sz w:val="16"/>
      <w:szCs w:val="16"/>
    </w:rPr>
  </w:style>
  <w:style w:type="paragraph" w:styleId="CommentText">
    <w:name w:val="annotation text"/>
    <w:basedOn w:val="Normal"/>
    <w:link w:val="CommentTextChar"/>
    <w:uiPriority w:val="99"/>
    <w:semiHidden/>
    <w:unhideWhenUsed/>
    <w:rsid w:val="0026193A"/>
  </w:style>
  <w:style w:type="character" w:customStyle="1" w:styleId="CommentTextChar">
    <w:name w:val="Comment Text Char"/>
    <w:basedOn w:val="DefaultParagraphFont"/>
    <w:link w:val="CommentText"/>
    <w:uiPriority w:val="99"/>
    <w:semiHidden/>
    <w:rsid w:val="0026193A"/>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193A"/>
    <w:rPr>
      <w:b/>
      <w:bCs/>
    </w:rPr>
  </w:style>
  <w:style w:type="character" w:customStyle="1" w:styleId="CommentSubjectChar">
    <w:name w:val="Comment Subject Char"/>
    <w:basedOn w:val="CommentTextChar"/>
    <w:link w:val="CommentSubject"/>
    <w:uiPriority w:val="99"/>
    <w:semiHidden/>
    <w:rsid w:val="0026193A"/>
    <w:rPr>
      <w:rFonts w:ascii="Calibri" w:hAnsi="Calibri" w:cs="Times New Roman"/>
      <w:b/>
      <w:bCs/>
      <w:sz w:val="20"/>
      <w:szCs w:val="20"/>
      <w:lang w:eastAsia="en-GB"/>
    </w:rPr>
  </w:style>
  <w:style w:type="paragraph" w:styleId="ListParagraph">
    <w:name w:val="List Paragraph"/>
    <w:basedOn w:val="Normal"/>
    <w:uiPriority w:val="34"/>
    <w:qFormat/>
    <w:rsid w:val="000832EC"/>
    <w:pPr>
      <w:spacing w:before="120" w:after="120"/>
      <w:ind w:left="720"/>
      <w:contextualSpacing/>
    </w:pPr>
    <w:rPr>
      <w:rFonts w:ascii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AE25A6"/>
  </w:style>
  <w:style w:type="character" w:customStyle="1" w:styleId="FootnoteTextChar">
    <w:name w:val="Footnote Text Char"/>
    <w:basedOn w:val="DefaultParagraphFont"/>
    <w:link w:val="FootnoteText"/>
    <w:uiPriority w:val="99"/>
    <w:semiHidden/>
    <w:rsid w:val="00AE25A6"/>
    <w:rPr>
      <w:rFonts w:ascii="Calibri" w:hAnsi="Calibri" w:cs="Times New Roman"/>
      <w:sz w:val="20"/>
      <w:szCs w:val="20"/>
      <w:lang w:eastAsia="en-GB"/>
    </w:rPr>
  </w:style>
  <w:style w:type="character" w:styleId="FootnoteReference">
    <w:name w:val="footnote reference"/>
    <w:basedOn w:val="DefaultParagraphFont"/>
    <w:uiPriority w:val="99"/>
    <w:semiHidden/>
    <w:unhideWhenUsed/>
    <w:rsid w:val="00AE25A6"/>
    <w:rPr>
      <w:vertAlign w:val="superscript"/>
    </w:rPr>
  </w:style>
  <w:style w:type="character" w:customStyle="1" w:styleId="Heading2Char">
    <w:name w:val="Heading 2 Char"/>
    <w:basedOn w:val="DefaultParagraphFont"/>
    <w:link w:val="Heading2"/>
    <w:uiPriority w:val="9"/>
    <w:semiHidden/>
    <w:rsid w:val="00DF56A3"/>
    <w:rPr>
      <w:rFonts w:asciiTheme="majorHAnsi" w:eastAsiaTheme="majorEastAsia" w:hAnsiTheme="majorHAnsi" w:cstheme="majorBidi"/>
      <w:color w:val="365F91" w:themeColor="accent1" w:themeShade="BF"/>
      <w:sz w:val="26"/>
      <w:szCs w:val="26"/>
      <w:lang w:eastAsia="en-GB"/>
    </w:rPr>
  </w:style>
  <w:style w:type="character" w:customStyle="1" w:styleId="msoins0">
    <w:name w:val="msoins"/>
    <w:rsid w:val="00DA334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ICC - International Criminal Court</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Blankestijn, Mirith</dc:creator>
  <cp:lastModifiedBy>Spierings, Sonja</cp:lastModifiedBy>
  <cp:revision>2</cp:revision>
  <dcterms:created xsi:type="dcterms:W3CDTF">2022-04-20T09:54:00Z</dcterms:created>
  <dcterms:modified xsi:type="dcterms:W3CDTF">2022-04-20T09:54:00Z</dcterms:modified>
</cp:coreProperties>
</file>